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12" w:rsidRDefault="00CD0112"/>
    <w:p w:rsidR="00CD0112" w:rsidRPr="00772CBD" w:rsidRDefault="00CD0112" w:rsidP="00CD011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 Narrow" w:hAnsi="Arial Narrow"/>
          <w:b/>
          <w:color w:val="000000"/>
          <w:sz w:val="24"/>
          <w:szCs w:val="24"/>
          <w:lang w:val="es-CL"/>
        </w:rPr>
      </w:pPr>
      <w:r w:rsidRPr="00772CBD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Descripción curricular</w:t>
      </w:r>
    </w:p>
    <w:p w:rsidR="00CD0112" w:rsidRPr="00E12A31" w:rsidRDefault="00CD0112" w:rsidP="00CD0112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  <w:r w:rsidRPr="00E12A31"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El colegio imparte el sistema educacional subvencionado por el cual mediante el incentivo y reconocimientos que se les hace a los profesores de la educación del establecimiento por su mejor desempeño, esto corresponde al SNED </w:t>
      </w:r>
      <w:r w:rsidRPr="00E12A31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Sistema Nacional de Evaluación del Desempeño</w:t>
      </w:r>
      <w:r w:rsidRPr="00E12A31">
        <w:rPr>
          <w:rFonts w:ascii="Times New Roman" w:hAnsi="Times New Roman" w:cs="Times New Roman"/>
          <w:color w:val="000000"/>
          <w:sz w:val="24"/>
          <w:szCs w:val="24"/>
          <w:lang w:val="es-CL"/>
        </w:rPr>
        <w:t>.</w:t>
      </w:r>
    </w:p>
    <w:p w:rsidR="00CD0112" w:rsidRPr="00E12A31" w:rsidRDefault="00CD0112" w:rsidP="00CD0112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El </w:t>
      </w:r>
      <w:r w:rsidRPr="00E12A31"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 SNED este sistema está vinculado a los establecimientos educacionales subvencionados y de aquellos regidos por el Decreto Ley N° 3166 DE 1980. Los establecimientos mejor evaluados por el Sistema se hacen acreedores, por dos años de la Subvención por desempeño de Excelencia destinada a oto</w:t>
      </w: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>rgar incentivos en remuneración</w:t>
      </w:r>
      <w:r w:rsidRPr="00E12A31"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 a los docentes y de la subvenci</w:t>
      </w: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ón por desempeño de excelencia </w:t>
      </w:r>
      <w:r w:rsidRPr="00E12A31"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 destinad</w:t>
      </w: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a a incentivos </w:t>
      </w:r>
      <w:proofErr w:type="spellStart"/>
      <w:r w:rsidRPr="00E12A31">
        <w:rPr>
          <w:rFonts w:ascii="Times New Roman" w:hAnsi="Times New Roman" w:cs="Times New Roman"/>
          <w:color w:val="000000"/>
          <w:sz w:val="24"/>
          <w:szCs w:val="24"/>
          <w:lang w:val="es-CL"/>
        </w:rPr>
        <w:t>remuneracionales</w:t>
      </w:r>
      <w:proofErr w:type="spellEnd"/>
      <w:r w:rsidRPr="00E12A31"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 para los asistentes de la educación.</w:t>
      </w:r>
    </w:p>
    <w:p w:rsidR="00CD0112" w:rsidRPr="00E12A31" w:rsidRDefault="00CD0112" w:rsidP="00CD011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E12A31">
        <w:rPr>
          <w:rFonts w:ascii="Times New Roman" w:hAnsi="Times New Roman" w:cs="Times New Roman"/>
          <w:b/>
          <w:sz w:val="24"/>
          <w:szCs w:val="24"/>
          <w:lang w:val="es-CL"/>
        </w:rPr>
        <w:t>Planes y programas propios</w:t>
      </w:r>
    </w:p>
    <w:p w:rsidR="00CD0112" w:rsidRDefault="00CD0112" w:rsidP="00CD0112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>El establecimiento realiza su trabajo curricular con sus propios planes y programas.</w:t>
      </w:r>
    </w:p>
    <w:p w:rsidR="00CD0112" w:rsidRDefault="00CD0112" w:rsidP="00CD011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  <w:r w:rsidRPr="00321C4C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Estrategias metodológicas</w:t>
      </w:r>
    </w:p>
    <w:p w:rsidR="00CD0112" w:rsidRDefault="00CD0112" w:rsidP="00CD0112">
      <w:pPr>
        <w:spacing w:after="0" w:line="360" w:lineRule="auto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En  el año 2006  NT2 y NB1  incorpora en sus  metodologías de trabajo  AILEM aprendizaje inicial de la lectura, escritura  y las matemáticas.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ED39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un programa de enseñanza,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fue </w:t>
      </w:r>
      <w:r w:rsidRPr="00ED399A">
        <w:rPr>
          <w:rFonts w:ascii="Times New Roman" w:hAnsi="Times New Roman" w:cs="Times New Roman"/>
          <w:sz w:val="24"/>
          <w:szCs w:val="24"/>
          <w:shd w:val="clear" w:color="auto" w:fill="FFFFFF"/>
        </w:rPr>
        <w:t>creado por un grupo interdisciplinario de especialistas de la Facultad de Educación de la Pontificia Universidad Católica de Chile, basado en el programa CELL de EE.UU. y en la experiencia e investigación de los profesionales del equipo; cuyo propósito central es mejorar significativamente los niveles de aprendizaje de Lectura, Escritura y Matemática en alumnos de 1NT a 4° básico.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hyperlink r:id="rId5" w:history="1">
        <w:r>
          <w:rPr>
            <w:rStyle w:val="Hipervnculo"/>
          </w:rPr>
          <w:t>http://educacion.uc.cl</w:t>
        </w:r>
      </w:hyperlink>
    </w:p>
    <w:p w:rsidR="00CD0112" w:rsidRPr="00885735" w:rsidRDefault="00CD0112" w:rsidP="00CD0112">
      <w:pPr>
        <w:spacing w:after="0" w:line="36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Este programa  fue extendiéndose a NB2 Y NB3 a partir del año </w:t>
      </w:r>
      <w:proofErr w:type="gramStart"/>
      <w:r>
        <w:rPr>
          <w:rFonts w:ascii="Times New Roman" w:hAnsi="Times New Roman" w:cs="Times New Roman"/>
          <w:sz w:val="24"/>
          <w:szCs w:val="24"/>
          <w:lang w:val="es-CL"/>
        </w:rPr>
        <w:t>2007</w:t>
      </w: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 .</w:t>
      </w:r>
      <w:proofErr w:type="gramEnd"/>
    </w:p>
    <w:p w:rsidR="00CD0112" w:rsidRDefault="00CD0112" w:rsidP="00CD011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En el año 2010 se incorpora al colegio el </w:t>
      </w:r>
      <w:r w:rsidRPr="00885735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método Singapur</w:t>
      </w: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 para primero y segundo básico. Este método proviene de Singapur y es adaptada a las nuevas exigencias del programa oficial. Cada alumno posee 6 libros, 2 libros del alumno y 4 cuadernos de trabajo.</w:t>
      </w:r>
    </w:p>
    <w:p w:rsidR="00CD0112" w:rsidRDefault="00CD0112" w:rsidP="00CD011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</w:p>
    <w:p w:rsidR="00CD0112" w:rsidRDefault="00CD0112" w:rsidP="00CD011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</w:p>
    <w:p w:rsidR="00CD0112" w:rsidRDefault="00CD0112" w:rsidP="00CD011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</w:p>
    <w:p w:rsidR="00CD0112" w:rsidRPr="00C1090A" w:rsidRDefault="00CD0112" w:rsidP="00CD0112">
      <w:pPr>
        <w:spacing w:before="100" w:beforeAutospacing="1" w:after="100" w:afterAutospacing="1" w:line="360" w:lineRule="auto"/>
        <w:ind w:left="2124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  <w:r w:rsidRPr="00C1090A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RESULTADOS INSTITUCIONALES</w:t>
      </w:r>
    </w:p>
    <w:p w:rsidR="00CD0112" w:rsidRPr="00C1090A" w:rsidRDefault="00CD0112" w:rsidP="00CD01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  <w:r w:rsidRPr="00C1090A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Resultados SIMCE del año 2010, 2011 (en todos los niveles de se rinde)</w:t>
      </w:r>
    </w:p>
    <w:p w:rsidR="00CD0112" w:rsidRPr="00C1090A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>El colegio se destaca por mantener altos puntajes en los resultados SIMCE. El resultado del año 2011 permitió que el colegio obtuviera   el segundo lugar de  la comuna.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0"/>
        <w:gridCol w:w="1368"/>
        <w:gridCol w:w="1446"/>
        <w:gridCol w:w="1543"/>
        <w:gridCol w:w="1134"/>
        <w:gridCol w:w="1417"/>
        <w:gridCol w:w="1559"/>
      </w:tblGrid>
      <w:tr w:rsidR="00CD0112" w:rsidRPr="00C1090A" w:rsidTr="00B80835">
        <w:tc>
          <w:tcPr>
            <w:tcW w:w="1280" w:type="dxa"/>
            <w:vMerge w:val="restart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</w:p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</w:p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AÑO</w:t>
            </w:r>
          </w:p>
        </w:tc>
        <w:tc>
          <w:tcPr>
            <w:tcW w:w="4357" w:type="dxa"/>
            <w:gridSpan w:val="3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Cuarto Año Básico</w:t>
            </w:r>
          </w:p>
        </w:tc>
        <w:tc>
          <w:tcPr>
            <w:tcW w:w="4110" w:type="dxa"/>
            <w:gridSpan w:val="3"/>
          </w:tcPr>
          <w:p w:rsidR="00CD0112" w:rsidRPr="00C1090A" w:rsidRDefault="00CD0112" w:rsidP="00B80835">
            <w:pPr>
              <w:tabs>
                <w:tab w:val="left" w:pos="580"/>
                <w:tab w:val="center" w:pos="1930"/>
              </w:tabs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ab/>
            </w: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ab/>
              <w:t>Octavo Año Básico</w:t>
            </w:r>
          </w:p>
        </w:tc>
      </w:tr>
      <w:tr w:rsidR="00CD0112" w:rsidRPr="00C1090A" w:rsidTr="00B80835">
        <w:tc>
          <w:tcPr>
            <w:tcW w:w="1280" w:type="dxa"/>
            <w:vMerge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4357" w:type="dxa"/>
            <w:gridSpan w:val="3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SUBSECTORES</w:t>
            </w:r>
          </w:p>
        </w:tc>
        <w:tc>
          <w:tcPr>
            <w:tcW w:w="4110" w:type="dxa"/>
            <w:gridSpan w:val="3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SUBSECTORES</w:t>
            </w:r>
          </w:p>
        </w:tc>
      </w:tr>
      <w:tr w:rsidR="00CD0112" w:rsidRPr="00C1090A" w:rsidTr="00B80835">
        <w:tc>
          <w:tcPr>
            <w:tcW w:w="1280" w:type="dxa"/>
            <w:vMerge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368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Lenguaje</w:t>
            </w:r>
          </w:p>
        </w:tc>
        <w:tc>
          <w:tcPr>
            <w:tcW w:w="1446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matemáticas</w:t>
            </w:r>
          </w:p>
        </w:tc>
        <w:tc>
          <w:tcPr>
            <w:tcW w:w="154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 xml:space="preserve">Comprensión </w:t>
            </w:r>
            <w:proofErr w:type="spellStart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nat</w:t>
            </w:r>
            <w:proofErr w:type="spellEnd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 xml:space="preserve">. </w:t>
            </w:r>
            <w:proofErr w:type="spellStart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soc.cult</w:t>
            </w:r>
            <w:proofErr w:type="spellEnd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.</w:t>
            </w:r>
          </w:p>
        </w:tc>
        <w:tc>
          <w:tcPr>
            <w:tcW w:w="1134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lenguaje</w:t>
            </w:r>
          </w:p>
        </w:tc>
        <w:tc>
          <w:tcPr>
            <w:tcW w:w="1417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matemáticas</w:t>
            </w:r>
          </w:p>
        </w:tc>
        <w:tc>
          <w:tcPr>
            <w:tcW w:w="1559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Historia ciencias</w:t>
            </w:r>
          </w:p>
        </w:tc>
      </w:tr>
      <w:tr w:rsidR="00CD0112" w:rsidRPr="00C1090A" w:rsidTr="00B80835">
        <w:tc>
          <w:tcPr>
            <w:tcW w:w="1280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2010</w:t>
            </w:r>
          </w:p>
        </w:tc>
        <w:tc>
          <w:tcPr>
            <w:tcW w:w="1368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319</w:t>
            </w:r>
          </w:p>
        </w:tc>
        <w:tc>
          <w:tcPr>
            <w:tcW w:w="1446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319</w:t>
            </w:r>
          </w:p>
        </w:tc>
        <w:tc>
          <w:tcPr>
            <w:tcW w:w="154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313</w:t>
            </w:r>
          </w:p>
        </w:tc>
        <w:tc>
          <w:tcPr>
            <w:tcW w:w="1134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298</w:t>
            </w:r>
          </w:p>
        </w:tc>
        <w:tc>
          <w:tcPr>
            <w:tcW w:w="1417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323</w:t>
            </w:r>
          </w:p>
        </w:tc>
        <w:tc>
          <w:tcPr>
            <w:tcW w:w="1559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298 (social)</w:t>
            </w:r>
          </w:p>
        </w:tc>
      </w:tr>
      <w:tr w:rsidR="00CD0112" w:rsidRPr="00C1090A" w:rsidTr="00B80835">
        <w:tc>
          <w:tcPr>
            <w:tcW w:w="1280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2011</w:t>
            </w:r>
          </w:p>
        </w:tc>
        <w:tc>
          <w:tcPr>
            <w:tcW w:w="1368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289</w:t>
            </w:r>
          </w:p>
        </w:tc>
        <w:tc>
          <w:tcPr>
            <w:tcW w:w="1446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292</w:t>
            </w:r>
          </w:p>
        </w:tc>
        <w:tc>
          <w:tcPr>
            <w:tcW w:w="154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296</w:t>
            </w:r>
          </w:p>
        </w:tc>
        <w:tc>
          <w:tcPr>
            <w:tcW w:w="1134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282</w:t>
            </w:r>
          </w:p>
        </w:tc>
        <w:tc>
          <w:tcPr>
            <w:tcW w:w="1417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307</w:t>
            </w:r>
          </w:p>
        </w:tc>
        <w:tc>
          <w:tcPr>
            <w:tcW w:w="1559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310 (</w:t>
            </w:r>
            <w:proofErr w:type="spellStart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c.naturales</w:t>
            </w:r>
            <w:proofErr w:type="spellEnd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)</w:t>
            </w:r>
          </w:p>
        </w:tc>
      </w:tr>
    </w:tbl>
    <w:tbl>
      <w:tblPr>
        <w:tblpPr w:leftFromText="141" w:rightFromText="141" w:vertAnchor="text" w:tblpY="381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980"/>
        <w:gridCol w:w="981"/>
        <w:gridCol w:w="981"/>
        <w:gridCol w:w="1030"/>
        <w:gridCol w:w="982"/>
        <w:gridCol w:w="982"/>
        <w:gridCol w:w="982"/>
        <w:gridCol w:w="982"/>
      </w:tblGrid>
      <w:tr w:rsidR="00CD0112" w:rsidRPr="00C1090A" w:rsidTr="00B80835">
        <w:trPr>
          <w:trHeight w:val="373"/>
        </w:trPr>
        <w:tc>
          <w:tcPr>
            <w:tcW w:w="9092" w:type="dxa"/>
            <w:gridSpan w:val="9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AÑO 2011</w:t>
            </w:r>
          </w:p>
        </w:tc>
      </w:tr>
      <w:tr w:rsidR="00CD0112" w:rsidRPr="00C1090A" w:rsidTr="00B80835">
        <w:tc>
          <w:tcPr>
            <w:tcW w:w="119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Núm. alumnos</w:t>
            </w:r>
          </w:p>
        </w:tc>
        <w:tc>
          <w:tcPr>
            <w:tcW w:w="980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proofErr w:type="spellStart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Leng</w:t>
            </w:r>
            <w:proofErr w:type="spellEnd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.</w:t>
            </w:r>
          </w:p>
        </w:tc>
        <w:tc>
          <w:tcPr>
            <w:tcW w:w="981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proofErr w:type="spellStart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Mat.</w:t>
            </w:r>
            <w:proofErr w:type="spellEnd"/>
          </w:p>
        </w:tc>
        <w:tc>
          <w:tcPr>
            <w:tcW w:w="981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proofErr w:type="spellStart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Nat</w:t>
            </w:r>
            <w:proofErr w:type="spellEnd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.</w:t>
            </w:r>
          </w:p>
        </w:tc>
        <w:tc>
          <w:tcPr>
            <w:tcW w:w="1030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Núm. alumnos</w:t>
            </w:r>
          </w:p>
        </w:tc>
        <w:tc>
          <w:tcPr>
            <w:tcW w:w="9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proofErr w:type="spellStart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Leng</w:t>
            </w:r>
            <w:proofErr w:type="spellEnd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.</w:t>
            </w:r>
          </w:p>
        </w:tc>
        <w:tc>
          <w:tcPr>
            <w:tcW w:w="9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proofErr w:type="spellStart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Mat.</w:t>
            </w:r>
            <w:proofErr w:type="spellEnd"/>
          </w:p>
        </w:tc>
        <w:tc>
          <w:tcPr>
            <w:tcW w:w="9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proofErr w:type="spellStart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Nat</w:t>
            </w:r>
            <w:proofErr w:type="spellEnd"/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.</w:t>
            </w:r>
          </w:p>
        </w:tc>
        <w:tc>
          <w:tcPr>
            <w:tcW w:w="9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Soc.</w:t>
            </w:r>
          </w:p>
        </w:tc>
      </w:tr>
      <w:tr w:rsidR="00CD0112" w:rsidRPr="00C1090A" w:rsidTr="00B80835">
        <w:tc>
          <w:tcPr>
            <w:tcW w:w="119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86</w:t>
            </w:r>
          </w:p>
        </w:tc>
        <w:tc>
          <w:tcPr>
            <w:tcW w:w="980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289</w:t>
            </w:r>
          </w:p>
        </w:tc>
        <w:tc>
          <w:tcPr>
            <w:tcW w:w="981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292</w:t>
            </w:r>
          </w:p>
        </w:tc>
        <w:tc>
          <w:tcPr>
            <w:tcW w:w="981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296</w:t>
            </w:r>
          </w:p>
        </w:tc>
        <w:tc>
          <w:tcPr>
            <w:tcW w:w="1030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85</w:t>
            </w:r>
          </w:p>
        </w:tc>
        <w:tc>
          <w:tcPr>
            <w:tcW w:w="9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282</w:t>
            </w:r>
          </w:p>
        </w:tc>
        <w:tc>
          <w:tcPr>
            <w:tcW w:w="9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307</w:t>
            </w:r>
          </w:p>
        </w:tc>
        <w:tc>
          <w:tcPr>
            <w:tcW w:w="9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310</w:t>
            </w:r>
          </w:p>
        </w:tc>
        <w:tc>
          <w:tcPr>
            <w:tcW w:w="9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298</w:t>
            </w:r>
          </w:p>
        </w:tc>
      </w:tr>
    </w:tbl>
    <w:p w:rsidR="00CD0112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</w:p>
    <w:p w:rsidR="00CD0112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Resultados SIMCE 2012.</w:t>
      </w:r>
    </w:p>
    <w:p w:rsidR="00CD0112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5791200" cy="600075"/>
            <wp:effectExtent l="19050" t="0" r="0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112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</w:p>
    <w:p w:rsidR="00CD0112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</w:p>
    <w:p w:rsidR="00CD0112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</w:p>
    <w:p w:rsidR="00CD0112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</w:p>
    <w:p w:rsidR="00CD0112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</w:p>
    <w:p w:rsidR="00CD0112" w:rsidRPr="00C1090A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  <w:r w:rsidRPr="00C1090A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Resultados PSU del año 2010 y 2011</w:t>
      </w:r>
    </w:p>
    <w:p w:rsidR="00CD0112" w:rsidRPr="00C1090A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  <w:r w:rsidRPr="00C1090A"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Los resultados de la PSU de los años 2010 de la promoción universitaria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1240"/>
        <w:gridCol w:w="1323"/>
        <w:gridCol w:w="1259"/>
        <w:gridCol w:w="1226"/>
        <w:gridCol w:w="1219"/>
        <w:gridCol w:w="1195"/>
      </w:tblGrid>
      <w:tr w:rsidR="00CD0112" w:rsidRPr="00C1090A" w:rsidTr="00B80835"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curso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lenguaje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matemática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promedio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historia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ciencia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NEM</w:t>
            </w:r>
          </w:p>
        </w:tc>
      </w:tr>
      <w:tr w:rsidR="00CD0112" w:rsidRPr="00C1090A" w:rsidTr="00B80835"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4º medio A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575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607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591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578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598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558</w:t>
            </w:r>
          </w:p>
        </w:tc>
      </w:tr>
      <w:tr w:rsidR="00CD0112" w:rsidRPr="00C1090A" w:rsidTr="00B80835"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4º Medio B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601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603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602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619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587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563</w:t>
            </w:r>
          </w:p>
        </w:tc>
      </w:tr>
      <w:tr w:rsidR="00CD0112" w:rsidRPr="00C1090A" w:rsidTr="00B80835"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promedio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587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605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596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598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592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560 (5,7)</w:t>
            </w:r>
          </w:p>
        </w:tc>
      </w:tr>
    </w:tbl>
    <w:p w:rsidR="00CD0112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</w:p>
    <w:p w:rsidR="00CD0112" w:rsidRPr="00C1090A" w:rsidRDefault="00CD0112" w:rsidP="00CD0112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  <w:r w:rsidRPr="00C1090A">
        <w:rPr>
          <w:rFonts w:ascii="Times New Roman" w:hAnsi="Times New Roman" w:cs="Times New Roman"/>
          <w:color w:val="000000"/>
          <w:sz w:val="24"/>
          <w:szCs w:val="24"/>
          <w:lang w:val="es-CL"/>
        </w:rPr>
        <w:t xml:space="preserve">Los resultados de la PSU de los años 2011 de la promoción universitaria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2"/>
        <w:gridCol w:w="1323"/>
        <w:gridCol w:w="1283"/>
        <w:gridCol w:w="1283"/>
        <w:gridCol w:w="1283"/>
      </w:tblGrid>
      <w:tr w:rsidR="00CD0112" w:rsidRPr="00C1090A" w:rsidTr="00B80835"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lenguaje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matemática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historia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ciencia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NEM</w:t>
            </w:r>
          </w:p>
        </w:tc>
      </w:tr>
      <w:tr w:rsidR="00CD0112" w:rsidRPr="00C1090A" w:rsidTr="00B80835"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569</w:t>
            </w:r>
          </w:p>
        </w:tc>
        <w:tc>
          <w:tcPr>
            <w:tcW w:w="1282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593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576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587</w:t>
            </w:r>
          </w:p>
        </w:tc>
        <w:tc>
          <w:tcPr>
            <w:tcW w:w="1283" w:type="dxa"/>
          </w:tcPr>
          <w:p w:rsidR="00CD0112" w:rsidRPr="00C1090A" w:rsidRDefault="00CD0112" w:rsidP="00B8083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C1090A">
              <w:rPr>
                <w:rFonts w:ascii="Times New Roman" w:hAnsi="Times New Roman" w:cs="Times New Roman"/>
                <w:color w:val="000000"/>
                <w:sz w:val="24"/>
                <w:szCs w:val="24"/>
                <w:lang w:val="es-CL"/>
              </w:rPr>
              <w:t>545</w:t>
            </w:r>
          </w:p>
        </w:tc>
      </w:tr>
    </w:tbl>
    <w:p w:rsidR="00CD0112" w:rsidRPr="009E2799" w:rsidRDefault="00CD0112" w:rsidP="00CD0112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s-C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CL"/>
        </w:rPr>
        <w:t>Durante el año 2011 y el año 2012, cuatro alumnos de cuarto medio obtuvieron puntaje nacional en las asignaturas de Lenguaje y matemáticas.</w:t>
      </w:r>
    </w:p>
    <w:p w:rsidR="004372A8" w:rsidRPr="00CD0112" w:rsidRDefault="004372A8" w:rsidP="00CD0112"/>
    <w:sectPr w:rsidR="004372A8" w:rsidRPr="00CD0112" w:rsidSect="00500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0BC4"/>
    <w:multiLevelType w:val="hybridMultilevel"/>
    <w:tmpl w:val="1F4AB4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CD0112"/>
    <w:rsid w:val="00065A2C"/>
    <w:rsid w:val="004372A8"/>
    <w:rsid w:val="00500D74"/>
    <w:rsid w:val="00CD0112"/>
    <w:rsid w:val="00D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1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1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011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ducacion.uc.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2013-05-22T00:45:00Z</dcterms:created>
  <dcterms:modified xsi:type="dcterms:W3CDTF">2013-05-22T00:46:00Z</dcterms:modified>
</cp:coreProperties>
</file>